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Arial" w:cs="Arial" w:eastAsia="Arial" w:hAnsi="Arial"/>
          <w:b/>
          <w:bCs/>
          <w:i w:val="false"/>
          <w:iCs w:val="false"/>
          <w:color w:val="141413"/>
          <w:sz w:val="30"/>
          <w:szCs w:val="30"/>
        </w:rPr>
        <w:t xml:space="preserve">TERM SHEET</w:t>
      </w:r>
    </w:p>
    <w:p>
      <w:pPr>
        <w:spacing w:after="40"/>
        <w:jc w:val="center"/>
      </w:pPr>
      <w:r>
        <w:rPr>
          <w:rFonts w:ascii="Arial" w:cs="Arial" w:eastAsia="Arial" w:hAnsi="Arial"/>
          <w:b/>
          <w:bCs/>
          <w:i w:val="false"/>
          <w:iCs w:val="false"/>
          <w:color w:val="141413"/>
          <w:sz w:val="22"/>
          <w:szCs w:val="22"/>
        </w:rPr>
        <w:t xml:space="preserve">FOR SERIES [__] PREFERRED STOCK FINANCING OF</w:t>
      </w:r>
    </w:p>
    <w:p>
      <w:pPr>
        <w:spacing w:after="40"/>
        <w:jc w:val="center"/>
      </w:pPr>
      <w:r>
        <w:rPr>
          <w:rFonts w:ascii="Arial" w:cs="Arial" w:eastAsia="Arial" w:hAnsi="Arial"/>
          <w:b/>
          <w:bCs/>
          <w:i w:val="false"/>
          <w:iCs w:val="false"/>
          <w:color w:val="141413"/>
          <w:sz w:val="22"/>
          <w:szCs w:val="22"/>
        </w:rPr>
        <w:t xml:space="preserve">[COMPANY NAME], INC.</w:t>
      </w:r>
    </w:p>
    <w:p>
      <w:pPr>
        <w:spacing w:after="160"/>
        <w:jc w:val="center"/>
      </w:pPr>
      <w:r>
        <w:rPr>
          <w:rFonts w:ascii="Arial" w:cs="Arial" w:eastAsia="Arial" w:hAnsi="Arial"/>
          <w:b w:val="false"/>
          <w:bCs w:val="false"/>
          <w:i w:val="false"/>
          <w:iCs w:val="false"/>
          <w:color w:val="6B6B66"/>
          <w:sz w:val="20"/>
          <w:szCs w:val="20"/>
        </w:rPr>
        <w:t xml:space="preserve">[Date]</w:t>
      </w:r>
    </w:p>
    <w:p>
      <w:pPr>
        <w:pBdr>
          <w:top w:val="single" w:color="DDDBD2" w:sz="4" w:space="6"/>
          <w:bottom w:val="single" w:color="DDDBD2" w:sz="4" w:space="6"/>
        </w:pBdr>
        <w:spacing w:after="40" w:before="40"/>
      </w:pPr>
      <w:r>
        <w:rPr>
          <w:rFonts w:ascii="Arial" w:cs="Arial" w:eastAsia="Arial" w:hAnsi="Arial"/>
          <w:i/>
          <w:iCs/>
          <w:color w:val="5C6B4A"/>
          <w:sz w:val="16"/>
          <w:szCs w:val="16"/>
        </w:rPr>
        <w:t xml:space="preserve">EDUCATIONAL TEMPLATE — NOT LEGAL ADVICE. This mirrors the structure and standardized language of a typical priced-round term sheet so founders can understand what each term does before they negotiate. It is not a substitute for a lawyer. Have experienced startup counsel paper your actual round, and read it alongside the free NVCA model legal documents (nvca.org) and Y Combinator’s Series A term sheet. Replace every [bracket] with your deal’s terms and delete this line before sharing.</w:t>
      </w:r>
    </w:p>
    <w:p>
      <w:pPr>
        <w:spacing w:after="40" w:before="120"/>
      </w:pPr>
      <w:r>
        <w:rPr>
          <w:rFonts w:ascii="Arial" w:cs="Arial" w:eastAsia="Arial" w:hAnsi="Arial"/>
          <w:color w:val="141413"/>
          <w:sz w:val="20"/>
          <w:szCs w:val="20"/>
        </w:rPr>
        <w:t xml:space="preserve">This Term Sheet summarizes the principal terms of the proposed Series [__] Preferred Stock financing of [Company Name], a [State] corporation (the “Company”). Green “Plain English” notes are guidance and are not part of the terms.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3020"/>
        <w:gridCol w:w="7060"/>
      </w:tblGrid>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OFFERING TERMS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Type of Stock</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Series [__] Preferred Stock (and, together with any other series of preferred stock classified in the Company’s existing certificate of incorporation (the “Charter”), the “Preferred Stock”).</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A priced round creates a new series of preferred that sits senior to common and carries the rights below.</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Amount Raised</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At least $[__] from [Lead Investor(s)] (the “Lead Investors”) and other investors acceptable to the Company (collectively, the “Investors”). The initial closing (the “Initial Closing”) shall be for an amount mutually agreed between the Lead Investors and the Company. Additional closings (each a “Subsequent Closing”) may occur after the Initial Closing.</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State the target and who is leading. Multiple closings let you take committed money now and add investors later on the same terms.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Expected Closing Time</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Initial Closing is expected on or around [Date] (the “Initial Closing Date”), subject to fulfillment of the Closing Conditions below.</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The target date. Real closings slip, so keep it realistic and tie it to diligence and document completion.</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Price Per Share</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price per share of the Series [__] Preferred Stock (the “Original Purchase Price”) is based on a fully-diluted pre-money valuation of $[__] (including an employee option pool available for grant representing at least [__]% of the fully-diluted post-money capitalization).</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Pre-money valuation ÷ fully-diluted shares sets the price. Note the pool: a bigger option pool “included” pre-money dilutes founders, not new investors. Model it in your pro forma cap table.</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CHARTER</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Dividends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share of Series [__] Preferred Stock shall be entitled to pari passu (with respect to other Preferred Stock), noncumulative dividends at the rate of [__]% per annum of the Original Purchase Price when, as, and if declared by the Board of Directors. The Preferred Stock shall also participate on an as-converted basis in any dividends paid on the Common Stock.</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Most venture rounds use noncumulative dividends that rarely get paid in cash; they mainly matter in a sale. Cumulative dividends accrue whether declared or not and are more investor-favorable — worth pushing back on.</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Liquidation Preference</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80"/>
            </w:pPr>
            <w:r>
              <w:rPr>
                <w:rFonts w:ascii="Arial" w:cs="Arial" w:eastAsia="Arial" w:hAnsi="Arial"/>
                <w:color w:val="141413"/>
                <w:sz w:val="20"/>
                <w:szCs w:val="20"/>
              </w:rPr>
              <w:t xml:space="preserve">In the event of any liquidation, dissolution, or winding up of the Company, the proceeds shall be paid as follows:</w:t>
            </w:r>
          </w:p>
          <w:p>
            <w:pPr>
              <w:spacing w:after="80"/>
            </w:pPr>
            <w:r>
              <w:rPr>
                <w:rFonts w:ascii="Arial" w:cs="Arial" w:eastAsia="Arial" w:hAnsi="Arial"/>
                <w:color w:val="141413"/>
                <w:sz w:val="20"/>
                <w:szCs w:val="20"/>
              </w:rPr>
              <w:t xml:space="preserve">First, pay to the holders of Preferred Stock an amount equal to [1.0] times their respective Original Purchase Prices plus declared but unpaid dividends, on a pari passu basis (or, if greater, the amount such Preferred Stock would receive on an as-converted basis).</w:t>
            </w:r>
          </w:p>
          <w:p>
            <w:pPr>
              <w:spacing w:after="80"/>
            </w:pPr>
            <w:r>
              <w:rPr>
                <w:rFonts w:ascii="Arial" w:cs="Arial" w:eastAsia="Arial" w:hAnsi="Arial"/>
                <w:color w:val="141413"/>
                <w:sz w:val="20"/>
                <w:szCs w:val="20"/>
              </w:rPr>
              <w:t xml:space="preserve">The balance of any proceeds shall be distributed pro rata to the holders of Common Stock and Preferred Stock (on an as-converted basis).</w:t>
            </w:r>
          </w:p>
          <w:p>
            <w:pPr>
              <w:spacing w:after="40"/>
            </w:pPr>
            <w:r>
              <w:rPr>
                <w:rFonts w:ascii="Arial" w:cs="Arial" w:eastAsia="Arial" w:hAnsi="Arial"/>
                <w:color w:val="141413"/>
                <w:sz w:val="20"/>
                <w:szCs w:val="20"/>
              </w:rPr>
              <w:t xml:space="preserve">A sale, or a transaction transferring 50% or more of the Company’s voting power (a “Change of Control Transaction”), will be treated as a “Deemed Liquidation Event,” triggering these preferences unless the holders of a majority of the Preferred Stock (the “Requisite Preferred Majority”) waive such treatment.</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The most important economic term after price. [1.0]x non-participating is the founder-friendly market standard: the investor takes their money back OR converts to common, not both. Watch for “participating” preferred (double-dip) or a multiple above 1x.</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Voting Rights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holders of Preferred Stock shall vote together with the Common Stock on an as-converted basis, and separately as a class where required by law or by the Protective Provisions below.</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Preferred generally votes alongside common, with extra approval rights (below) over a defined list of major decisions.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Protective Provisions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approval of the Requisite Preferred Majority shall be required for a defined list of actions, consistent with the protective provisions in the Company’s Charter — including, for example, altering the rights of the Preferred, changing the authorized shares, issuing senior or pari passu stock, effecting a sale of the Company, incurring indebtedness above $[__], or changing the size of the Board.</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The investor’s veto list. Standard, but negotiate the specific triggers and dollar thresholds so ordinary operating decisions don’t require investor sign-off.</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Anti-dilution</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conversion ratio of the Preferred Stock shall be subject to broad-based weighted-average anti-dilution protection, with customary exceptions.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Protects investors if you later raise at a lower price (a down round). Broad-based weighted average is the mild, market-standard form. Reject “full ratchet,” which is punitive to founders.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Voluntary Conversion</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share of Series [__] Preferred Stock shall be convertible, at the option of the holder, at any time and without payment of additional consideration, into shares of Common Stock at the then-applicable conversion ratio (initially 1:1, subject to the anti-dilution and other adjustments above).</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Investors can convert to common whenever they choose; in practice they usually convert only at exit.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Mandatory Conversion</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share of Preferred Stock shall automatically convert into Common Stock at the then-applicable conversion rate upon (a) the closing of a firm-commitment underwritten public offering with net proceeds to the Company of at least $[__] and a listing on [NYSE / NASDAQ] (a “QPO”), or (b) the election of the Requisite Preferred Majority.</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Preferred converts to common automatically at a qualifying IPO, so the cap table cleans up at exit.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Restricted Transfers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Prior to a QPO or a Change of Control, the Founder(s) may not transfer Common Stock without the prior written consent of the Requisite Preferred Majority, subject to customary exceptions (including estate-planning transfers to “Permitted Transferees” and transfers pursuant to a right of first refusal or repurchase right).</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Keeps founders from selling their stock privately without investor consent, with normal carve-outs. Standard.</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Redemption Rights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No series of Preferred Stock shall have redemption rights.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No redemption is founder-friendly and increasingly standard. Redemption rights let investors force a buyback after a set period, which can create a cash overhang.</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STOCK PURCHASE AGREEMENT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Representations and Warranties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Standard representations and warranties by the Company.</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Standard. Keep any founder-level reps limited; company-level reps are normal.</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Conditions to Closing</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Customary conditions to closing, including satisfactory completion of legal and financial due diligence, filing of the Certificate of Incorporation establishing the rights and preferences of the Series [__] Preferred, satisfactory entry into non-disclosure and proprietary-rights-assignment agreements by employees and consultants, and an opinion of Company counsel.</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What must be true before money moves. Clean IP assignment and a filed charter are the usual gating items, so prepare them early.</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Counsel and Expenses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Company counsel shall draft the definitive documents. The Company shall pay the reasonable legal and administrative costs of the financing at the Initial Closing, including the reasonable legal fees and expenses of the Lead Investors, capped in the aggregate at $[__].</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You pay for the investor’s lawyer up to a cap. Negotiate the cap; a modest fixed amount is normal, not open-ended.</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INVESTORS’ RIGHTS AGREEMENT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Registration Rights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All shares of Common Stock issuable upon conversion of the Preferred Stock (“Registrable Securities”) will be provided customary demand, S-3, and piggyback registration rights.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Standard IPO-era rights; rarely negotiated in detail. The market form is fine.</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Information Rights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Major Investor will receive (i) quarterly unaudited financial statements, (ii) annual audited financials when requested by a majority of the Preferred held by Major Investors, (iii) an annual operating budget, and (iv) an up-to-date capitalization table. A “Major Investor” holds at least [__] shares of Preferred Stock.</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Reporting you owe larger investors. Set the “Major Investor” threshold so you aren’t sending detailed financials to every small check.</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Right to Participate in Future Rounds</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Major Investor shall have a pro rata right, based on its as-converted fully-diluted ownership, to participate in subsequent equity issuances of the Company (subject to customary exceptions), with a right of oversubscription for shares not taken up by other Major Investors.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Lets existing investors keep their percentage in later rounds. Standard; it reserves allocation in future rounds.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Non-Disclosure and Developments Agreement</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current and former employee and consultant will enter into the Company’s standard non-disclosure and proprietary-rights-assignment agreement.</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Everyone assigns their IP to the company. Investors will check this in diligence, so get it done early.</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Stock Vesting</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Unless otherwise approved by the Board (including the affirmative vote of at least one director elected by the Preferred (a “Preferred Director”)), stock and options granted to employees after the Initial Closing shall vest over four years: 25% on the first anniversary of the grant, and the remainder monthly over the following three years. Founder vesting: [describe existing terms].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Investors expect standard 4-year / 1-year-cliff vesting, and will look closely at how much founder stock is already vested. Address founder vesting explicitly.</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RIGHT OF FIRST REFUSAL / CO-SALE AGREEMENT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Rights of First Refusal and Co-Sale</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On any proposed transfer of shares by a Founder, the Company shall have a first right of refusal and the Major Investors a secondary right, with a right of oversubscription; the Major Investors shall also have a co-sale right to participate in the sale on a pro rata basis.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Controls secondary sales of founder stock: the company or investors can buy first, or tag along. Standard, and generally reasonable.</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VOTING AGREEMENT</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Board of Directors and Observer</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Board shall consist of [__] members: [__] elected by the Preferred, [__] elected by the Common (including the CEO), and [__] independent director(s) mutually agreed by the Common and the Lead Investors. [Optional: the Lead Investor may designate one non-voting Board observer.]</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Board composition is control, not just economics. Early on, a small board (for example 2 common / 1 investor / optional independent) is common. Keep founder control of the board as long as the round allows, and define observer rights.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Drag Along</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The holders of Preferred and Common Stock (and all future holders of more than [1]% of the Common Stock) shall agree to vote for a sale approved by the Board, a majority of the Preferred (voting together as a single class), and a majority of the Common (on an as-converted basis), subject to customary minority protections.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Lets a defined majority force a sale so a small holdout can’t block a good exit. Standard; keep the thresholds and minority protections balanced.</w:t>
            </w:r>
          </w:p>
        </w:tc>
      </w:tr>
      <w:tr>
        <w:tc>
          <w:tcPr>
            <w:gridSpan w:val="2"/>
            <w:tcBorders>
              <w:top w:val="none" w:color="FFFFFF" w:sz="0"/>
              <w:left w:val="none" w:color="FFFFFF" w:sz="0"/>
              <w:bottom w:val="none" w:color="FFFFFF" w:sz="0"/>
              <w:right w:val="none" w:color="FFFFFF" w:sz="0"/>
            </w:tcBorders>
            <w:tcMar>
              <w:top w:type="dxa" w:w="240"/>
              <w:left w:type="dxa" w:w="0"/>
              <w:bottom w:type="dxa" w:w="80"/>
              <w:right w:type="dxa" w:w="0"/>
            </w:tcMar>
          </w:tcPr>
          <w:p>
            <w:pPr>
              <w:jc w:val="center"/>
            </w:pPr>
            <w:r>
              <w:rPr>
                <w:rFonts w:ascii="Arial" w:cs="Arial" w:eastAsia="Arial" w:hAnsi="Arial"/>
                <w:b/>
                <w:bCs/>
                <w:color w:val="141413"/>
                <w:spacing w:val="12"/>
                <w:sz w:val="20"/>
                <w:szCs w:val="20"/>
                <w:u w:val="single"/>
              </w:rPr>
              <w:t xml:space="preserve">MISCELLANEOUS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Confidentiality</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Each party shall treat the terms and existence of this Term Sheet as strictly confidential and shall not disclose them, except as required by applicable law or regulation or to prospective co-investors in the round.</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Standard. You can still reference the round to co-investors you’re syndicating with.</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Governing Law</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This Term Sheet shall be governed by and construed in accordance with the laws of the State of [__], without regard to its conflict-of-laws principles.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Delaware is the common default for venture-backed companies.</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Dispute Resolution</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Any suit, claim, or proceeding arising out of or in connection with this Term Sheet shall be brought exclusively in the state or federal courts located in [__].</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Where disputes get heard; usually matches the governing-law state.</w:t>
            </w:r>
          </w:p>
        </w:tc>
      </w:tr>
      <w:tr>
        <w:tc>
          <w:tcPr>
            <w:tcW w:type="pct" w:w="30%"/>
            <w:tcBorders>
              <w:top w:val="none" w:color="FFFFFF" w:sz="0"/>
              <w:left w:val="none" w:color="FFFFFF" w:sz="0"/>
              <w:bottom w:val="none" w:color="FFFFFF" w:sz="0"/>
              <w:right w:val="none" w:color="FFFFFF" w:sz="0"/>
            </w:tcBorders>
            <w:tcMar>
              <w:top w:type="dxa" w:w="90"/>
              <w:left w:type="dxa" w:w="0"/>
              <w:bottom w:type="dxa" w:w="90"/>
              <w:right w:type="dxa" w:w="200"/>
            </w:tcMar>
          </w:tcPr>
          <w:p>
            <w:r>
              <w:rPr>
                <w:rFonts w:ascii="Arial" w:cs="Arial" w:eastAsia="Arial" w:hAnsi="Arial"/>
                <w:i/>
                <w:iCs/>
                <w:color w:val="141413"/>
                <w:sz w:val="20"/>
                <w:szCs w:val="20"/>
              </w:rPr>
              <w:t xml:space="preserve">Non-Binding</w:t>
            </w:r>
          </w:p>
        </w:tc>
        <w:tc>
          <w:tcPr>
            <w:tcW w:type="pct" w:w="70%"/>
            <w:tcBorders>
              <w:top w:val="none" w:color="FFFFFF" w:sz="0"/>
              <w:left w:val="none" w:color="FFFFFF" w:sz="0"/>
              <w:bottom w:val="none" w:color="FFFFFF" w:sz="0"/>
              <w:right w:val="none" w:color="FFFFFF" w:sz="0"/>
            </w:tcBorders>
            <w:tcMar>
              <w:top w:type="dxa" w:w="90"/>
              <w:left w:type="dxa" w:w="0"/>
              <w:bottom w:type="dxa" w:w="140"/>
              <w:right w:type="dxa" w:w="0"/>
            </w:tcMar>
          </w:tcPr>
          <w:p>
            <w:pPr>
              <w:spacing w:after="40"/>
            </w:pPr>
            <w:r>
              <w:rPr>
                <w:rFonts w:ascii="Arial" w:cs="Arial" w:eastAsia="Arial" w:hAnsi="Arial"/>
                <w:color w:val="141413"/>
                <w:sz w:val="20"/>
                <w:szCs w:val="20"/>
              </w:rPr>
              <w:t xml:space="preserve">Except for the sections titled Confidentiality, Governing Law, Dispute Resolution, No-Shop (if included), and this section — which shall be binding — this Term Sheet is not binding on the parties and is subject to the negotiation and execution of definitive documents.</w:t>
            </w:r>
          </w:p>
          <w:p>
            <w:pPr>
              <w:spacing w:after="40" w:before="20"/>
            </w:pPr>
            <w:r>
              <w:rPr>
                <w:rFonts w:ascii="Arial" w:cs="Arial" w:eastAsia="Arial" w:hAnsi="Arial"/>
                <w:b/>
                <w:bCs/>
                <w:i/>
                <w:iCs/>
                <w:color w:val="5C6B4A"/>
                <w:sz w:val="18"/>
                <w:szCs w:val="18"/>
              </w:rPr>
              <w:t xml:space="preserve">Plain English: </w:t>
            </w:r>
            <w:r>
              <w:rPr>
                <w:rFonts w:ascii="Arial" w:cs="Arial" w:eastAsia="Arial" w:hAnsi="Arial"/>
                <w:i/>
                <w:iCs/>
                <w:color w:val="6B6B66"/>
                <w:sz w:val="18"/>
                <w:szCs w:val="18"/>
              </w:rPr>
              <w:t xml:space="preserve">The term sheet is mostly a moral commitment; only a few sections bind. The real obligations live in the definitive documents that follow.</w:t>
            </w:r>
          </w:p>
        </w:tc>
      </w:tr>
    </w:tbl>
    <w:p>
      <w:pPr>
        <w:spacing w:after="120" w:before="300"/>
      </w:pPr>
      <w:r>
        <w:rPr>
          <w:rFonts w:ascii="Arial" w:cs="Arial" w:eastAsia="Arial" w:hAnsi="Arial"/>
          <w:color w:val="141413"/>
          <w:sz w:val="20"/>
          <w:szCs w:val="20"/>
        </w:rPr>
        <w:t xml:space="preserve">Accepted and agreed as of the date first written above:</w:t>
      </w:r>
    </w:p>
    <w:p>
      <w:pPr>
        <w:pBdr>
          <w:bottom w:val="single" w:color="DDDBD2" w:sz="4" w:space="2"/>
        </w:pBdr>
        <w:spacing w:after="10" w:before="160"/>
      </w:pPr>
      <w:r>
        <w:rPr>
          <w:rFonts w:ascii="Arial" w:cs="Arial" w:eastAsia="Arial" w:hAnsi="Arial"/>
          <w:sz w:val="20"/>
          <w:szCs w:val="20"/>
        </w:rPr>
        <w:t xml:space="preserve"> </w:t>
      </w:r>
    </w:p>
    <w:p>
      <w:pPr>
        <w:spacing w:after="60"/>
      </w:pPr>
      <w:r>
        <w:rPr>
          <w:rFonts w:ascii="Arial" w:cs="Arial" w:eastAsia="Arial" w:hAnsi="Arial"/>
          <w:color w:val="6B6B66"/>
          <w:sz w:val="18"/>
          <w:szCs w:val="18"/>
        </w:rPr>
        <w:t xml:space="preserve">The Lead Investors:  [Name] · By: _______________ · [Title]</w:t>
      </w:r>
      <w:r>
        <w:rPr>
          <w:rFonts w:ascii="Arial" w:cs="Arial" w:eastAsia="Arial" w:hAnsi="Arial"/>
          <w:color w:val="6B6B66"/>
          <w:sz w:val="18"/>
          <w:szCs w:val="18"/>
        </w:rPr>
        <w:t xml:space="preserve"/>
      </w:r>
    </w:p>
    <w:p>
      <w:pPr>
        <w:pBdr>
          <w:bottom w:val="single" w:color="DDDBD2" w:sz="4" w:space="2"/>
        </w:pBdr>
        <w:spacing w:after="10" w:before="160"/>
      </w:pPr>
      <w:r>
        <w:rPr>
          <w:rFonts w:ascii="Arial" w:cs="Arial" w:eastAsia="Arial" w:hAnsi="Arial"/>
          <w:sz w:val="20"/>
          <w:szCs w:val="20"/>
        </w:rPr>
        <w:t xml:space="preserve"> </w:t>
      </w:r>
    </w:p>
    <w:p>
      <w:pPr>
        <w:spacing w:after="60"/>
      </w:pPr>
      <w:r>
        <w:rPr>
          <w:rFonts w:ascii="Arial" w:cs="Arial" w:eastAsia="Arial" w:hAnsi="Arial"/>
          <w:color w:val="6B6B66"/>
          <w:sz w:val="18"/>
          <w:szCs w:val="18"/>
        </w:rPr>
        <w:t xml:space="preserve">The Company:  [Company Name], Inc. · By: _______________ · [Founder], CEO</w:t>
      </w:r>
      <w:r>
        <w:rPr>
          <w:rFonts w:ascii="Arial" w:cs="Arial" w:eastAsia="Arial" w:hAnsi="Arial"/>
          <w:color w:val="6B6B66"/>
          <w:sz w:val="18"/>
          <w:szCs w:val="18"/>
        </w:rPr>
        <w:t xml:space="preserve"/>
      </w:r>
    </w:p>
    <w:p>
      <w:pPr>
        <w:pBdr>
          <w:top w:val="single" w:color="DDDBD2" w:sz="6" w:space="6"/>
        </w:pBdr>
        <w:spacing w:after="20" w:before="240"/>
      </w:pPr>
      <w:r>
        <w:rPr>
          <w:rFonts w:ascii="Arial" w:cs="Arial" w:eastAsia="Arial" w:hAnsi="Arial"/>
          <w:i/>
          <w:iCs/>
          <w:color w:val="6B6B66"/>
          <w:sz w:val="16"/>
          <w:szCs w:val="16"/>
        </w:rPr>
        <w:t xml:space="preserve">Educational template — not legal advice. Have qualified counsel review your actual financing.</w:t>
      </w:r>
    </w:p>
    <w:p>
      <w:pPr>
        <w:spacing w:before="16"/>
      </w:pPr>
      <w:r>
        <w:rPr>
          <w:rFonts w:ascii="Arial" w:cs="Arial" w:eastAsia="Arial" w:hAnsi="Arial"/>
          <w:color w:val="AD5929"/>
          <w:sz w:val="16"/>
          <w:szCs w:val="16"/>
        </w:rPr>
        <w:t xml:space="preserve">Template from The Data Room · jonathanhua.com/resources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41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Term Sheet Template (Annotated)</dc:title>
  <dc:creator>Jonathan Hua · The Data Room</dc:creator>
  <cp:lastModifiedBy>Un-named</cp:lastModifiedBy>
  <cp:revision>1</cp:revision>
  <dcterms:created xsi:type="dcterms:W3CDTF">2026-08-20T00:43:56.301Z</dcterms:created>
  <dcterms:modified xsi:type="dcterms:W3CDTF">2026-08-20T00:43:56.306Z</dcterms:modified>
</cp:coreProperties>
</file>

<file path=docProps/custom.xml><?xml version="1.0" encoding="utf-8"?>
<Properties xmlns="http://schemas.openxmlformats.org/officeDocument/2006/custom-properties" xmlns:vt="http://schemas.openxmlformats.org/officeDocument/2006/docPropsVTypes"/>
</file>